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247E" w14:textId="77777777" w:rsidR="00742DB1" w:rsidRDefault="00742DB1" w:rsidP="00742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деятельности Контрольно-счетной палаты </w:t>
      </w:r>
    </w:p>
    <w:p w14:paraId="3583C161" w14:textId="316633D7" w:rsidR="00742DB1" w:rsidRDefault="00742DB1" w:rsidP="00742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Усолье-Сибирское за 2025 год</w:t>
      </w:r>
    </w:p>
    <w:p w14:paraId="38DF9E44" w14:textId="309B93E2" w:rsidR="00742DB1" w:rsidRPr="00742DB1" w:rsidRDefault="00742DB1" w:rsidP="00742DB1">
      <w:pPr>
        <w:jc w:val="center"/>
        <w:rPr>
          <w:b/>
        </w:rPr>
      </w:pPr>
      <w:r>
        <w:rPr>
          <w:b/>
        </w:rPr>
        <w:t>(рассмотрен и принят решением городской Думы от 26.02.2026 года № 8/8)</w:t>
      </w:r>
    </w:p>
    <w:p w14:paraId="1A9E6448" w14:textId="77777777" w:rsidR="00742DB1" w:rsidRDefault="00742DB1" w:rsidP="00742DB1">
      <w:pPr>
        <w:jc w:val="both"/>
        <w:rPr>
          <w:b/>
          <w:color w:val="FF0000"/>
        </w:rPr>
      </w:pPr>
    </w:p>
    <w:p w14:paraId="4979E0EB" w14:textId="77777777" w:rsidR="00742DB1" w:rsidRDefault="00742DB1" w:rsidP="00742DB1">
      <w:pPr>
        <w:jc w:val="both"/>
        <w:rPr>
          <w:sz w:val="28"/>
          <w:szCs w:val="28"/>
        </w:rPr>
      </w:pPr>
      <w:r>
        <w:rPr>
          <w:color w:val="FF0000"/>
        </w:rPr>
        <w:t xml:space="preserve">            </w:t>
      </w:r>
      <w:r>
        <w:rPr>
          <w:sz w:val="28"/>
          <w:szCs w:val="28"/>
        </w:rPr>
        <w:t>В 2025 году в соответствии с утвержденным планом работы Контрольно-счетной палатой (далее – КСП) города проведены контрольные и экспертно-аналитические мероприятия, а также экспертизы муниципальных нормативных правовых актов (их проектов).</w:t>
      </w:r>
    </w:p>
    <w:p w14:paraId="63B66B24" w14:textId="798ADEBE" w:rsidR="00742DB1" w:rsidRDefault="00742DB1" w:rsidP="00742DB1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числе контрольных мероприятий проведены: проверки использования бюджетных средств, выделенных в 2024 году: на приобретение учебной мебели по муниципальной программе (далее – МП) «Развитие образования» (для МБОУ «Средняя общеобразовательная школа № 10» (далее – «СОШ № 10»)); на благоустройство сквера по проезду Фестивальный в районе МБУДО «Дом детского творчества» по МП «Формирование современной городской среды»; на приобретение и установку скалодрома в физкультурно-оздоровительном комплексе по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-ту Ленинский по МП «Развитие физической культуры и спорта»</w:t>
      </w:r>
      <w:r>
        <w:rPr>
          <w:rFonts w:eastAsia="Calibri"/>
          <w:sz w:val="28"/>
          <w:szCs w:val="28"/>
        </w:rPr>
        <w:t>; проверки финансово-хозяйственной деятельности МБУДО «Детская художественная школа» и МУП ПО «</w:t>
      </w:r>
      <w:proofErr w:type="spellStart"/>
      <w:r>
        <w:rPr>
          <w:rFonts w:eastAsia="Calibri"/>
          <w:sz w:val="28"/>
          <w:szCs w:val="28"/>
        </w:rPr>
        <w:t>Электроавтотранс</w:t>
      </w:r>
      <w:proofErr w:type="spellEnd"/>
      <w:r>
        <w:rPr>
          <w:rFonts w:eastAsia="Calibri"/>
          <w:sz w:val="28"/>
          <w:szCs w:val="28"/>
        </w:rPr>
        <w:t xml:space="preserve">» за 2024 год. </w:t>
      </w:r>
    </w:p>
    <w:p w14:paraId="683920C3" w14:textId="140E9663" w:rsidR="00742DB1" w:rsidRDefault="00742DB1" w:rsidP="00742DB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В числе экспертно-аналитических мероприятий и экспертиз муниципальных правовых актов (их проектов) проведены следующие: анализ формирования и использования бюджетных ассигнований муниципального дорожного фонда за 2023-2024 годы; анализ выполнения предписаний контрольно-надзорных органов, выданных в 2023-2024 годах муниципальным общеобразовательным учреждениям города;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внешняя проверка годовой бюджетной отчетности 9 главных администраторов бюджетных средств за 2024 год и внешняя проверка отчета об исполнении бюджета города за 2024 год; экспертизы проектов решений городской Думы о внесении изменений и дополнений в бюджет города на 2025 год и плановый период 2026-2027 годов; экспертизы Положения по содержанию, охране и порядку выдачи разрешения на снос, пересадку и (или) обрезку зеленых насаждений на территории города и Положения о порядке принятия решений о разработке муниципальных программ муниципального образования «город Усолье-Сибирское», их формирования и реализации; экспертизы проектов муниципальных программ города, начинающих действовать с 01.01.2026 года;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экспертиза проекта решения городской Думы «Об утверждении бюджета города на 2026 год и плановый период 2027-2028 годов».</w:t>
      </w:r>
      <w:r>
        <w:rPr>
          <w:color w:val="FF0000"/>
          <w:sz w:val="28"/>
          <w:szCs w:val="28"/>
        </w:rPr>
        <w:t xml:space="preserve"> </w:t>
      </w:r>
    </w:p>
    <w:p w14:paraId="72AACD20" w14:textId="77777777" w:rsidR="00742DB1" w:rsidRDefault="00742DB1" w:rsidP="00742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Документы, составленные КСП города по вышеназванным мероприятиям, направлены соответственно руководителям проверенных организаций, в администрацию города и в городскую Думу.</w:t>
      </w:r>
    </w:p>
    <w:p w14:paraId="1D8C413C" w14:textId="77777777" w:rsidR="00742DB1" w:rsidRDefault="00742DB1" w:rsidP="00742DB1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>
        <w:rPr>
          <w:sz w:val="28"/>
          <w:szCs w:val="28"/>
        </w:rPr>
        <w:t>Информация о проведенных КСП города мероприятиях размещена на официальном сайте КСП города.</w:t>
      </w:r>
    </w:p>
    <w:p w14:paraId="28AF50F9" w14:textId="77777777" w:rsidR="00742DB1" w:rsidRDefault="00742DB1" w:rsidP="00742DB1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>
        <w:rPr>
          <w:sz w:val="28"/>
          <w:szCs w:val="28"/>
        </w:rPr>
        <w:t>Выявленные по результатам проведенных мероприятий нарушения сгруппированы в соответствии с Классификатором нарушений, установленным Советом контрольно-счетных органов при Счетной палате РФ.</w:t>
      </w:r>
    </w:p>
    <w:p w14:paraId="68C22072" w14:textId="77777777" w:rsidR="00742DB1" w:rsidRDefault="00742DB1" w:rsidP="00742DB1">
      <w:pPr>
        <w:jc w:val="both"/>
        <w:rPr>
          <w:color w:val="4472C4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 xml:space="preserve">Общий объем выявленных нарушений составил 11 852,3 тыс. руб., в том числе: нарушения при формировании и исполнении бюджета – 6 164,2 тыс. руб.; </w:t>
      </w:r>
      <w:r>
        <w:rPr>
          <w:rFonts w:eastAsia="Calibri"/>
          <w:sz w:val="28"/>
          <w:szCs w:val="28"/>
        </w:rPr>
        <w:t xml:space="preserve">нарушения ведения бухгалтерского учета, составления и представления бухгалтерской (финансовой) отчетности – 2 600,9 тыс. руб.; </w:t>
      </w:r>
      <w:r>
        <w:rPr>
          <w:sz w:val="28"/>
          <w:szCs w:val="28"/>
        </w:rPr>
        <w:t>нарушения в сфере управления и распоряжения муниципальной собственностью – 668,6 тыс. руб.; нарушения при осуществлении закупок – 1 763,9 тыс. руб.; иные нарушения – 654,7 тыс. руб.</w:t>
      </w:r>
      <w:r>
        <w:rPr>
          <w:color w:val="FF0000"/>
          <w:sz w:val="28"/>
          <w:szCs w:val="28"/>
        </w:rPr>
        <w:t xml:space="preserve"> </w:t>
      </w:r>
    </w:p>
    <w:p w14:paraId="7A6393E5" w14:textId="77777777" w:rsidR="00742DB1" w:rsidRDefault="00742DB1" w:rsidP="00742DB1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>
        <w:rPr>
          <w:sz w:val="28"/>
          <w:szCs w:val="28"/>
        </w:rPr>
        <w:t>Общее количество выявленных нарушений составило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104 нарушения; причем, наибольшую долю в общем количестве выявленных нарушений составляют нарушения законодательства в сфере закупок – 44 нарушения (или 42,3% от общего количества нарушений).</w:t>
      </w:r>
    </w:p>
    <w:p w14:paraId="592DBA44" w14:textId="77777777" w:rsidR="00742DB1" w:rsidRDefault="00742DB1" w:rsidP="00742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общем количестве выявленных нарушений 43 нарушения не имеют суммового выражения; к ним относятся нарушения сроков внесения изменений в муниципальные программы; нарушения порядка проведения оценки эффективности реализации программ; нарушения применения бюджетной классификации доходов бюджета; нарушения при составлении бухгалтерских документов и сроков их предоставления; нарушения требований законодательства в сфере закупок при размещении информации в единой информационной системе, в том числе, сроков ее размещения. </w:t>
      </w:r>
    </w:p>
    <w:p w14:paraId="4A4FA921" w14:textId="77777777" w:rsidR="00742DB1" w:rsidRDefault="00742DB1" w:rsidP="00742DB1">
      <w:pPr>
        <w:jc w:val="both"/>
        <w:rPr>
          <w:iCs/>
          <w:color w:val="4472C4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В 2025 году по сравнению с 2024 годом объем выявленных нарушений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увеличился на 3 495,8 тыс. руб. или на 41,8%. </w:t>
      </w:r>
      <w:r>
        <w:rPr>
          <w:iCs/>
          <w:sz w:val="28"/>
          <w:szCs w:val="28"/>
        </w:rPr>
        <w:t>Данное увеличение обусловлено, в основном, увеличением объема нарушений, допущенных при</w:t>
      </w:r>
      <w:r>
        <w:rPr>
          <w:sz w:val="28"/>
          <w:szCs w:val="28"/>
        </w:rPr>
        <w:t xml:space="preserve"> формировании и исполнении бюджета – на </w:t>
      </w:r>
      <w:r>
        <w:rPr>
          <w:iCs/>
          <w:sz w:val="28"/>
          <w:szCs w:val="28"/>
        </w:rPr>
        <w:t>5 088,6 тыс. руб. Вместе с тем, общее количество нарушений снизилось на 67 нарушений, в основном,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за счет снижения количества нарушений, не имеющих суммового выражения – на 57 нарушений.</w:t>
      </w:r>
      <w:r>
        <w:rPr>
          <w:iCs/>
          <w:color w:val="FF0000"/>
          <w:sz w:val="28"/>
          <w:szCs w:val="28"/>
        </w:rPr>
        <w:t xml:space="preserve"> </w:t>
      </w:r>
    </w:p>
    <w:p w14:paraId="6D183C70" w14:textId="77777777" w:rsidR="00742DB1" w:rsidRDefault="00742DB1" w:rsidP="00742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Кроме указанных нарушений, по результатам трех проведенных мероприятий КСП города установлено неэффективное использование бюджетных средств на общую сумму 448,4 тыс. руб., в том числе, по результатам анализа использования бюджетных ассигнований муниципального дорожного фонда – 371,6 тыс. руб.; по проверке приобретения учебной мебели для МБОУ «СОШ            №10» - 59,5 тыс. руб.; по проверке благоустройства сквера в районе «Дома детского творчества» - 17,3 тыс. руб. Нецелевого использования бюджетных средств в ходе мероприятий не установлено.</w:t>
      </w:r>
    </w:p>
    <w:p w14:paraId="55D392A4" w14:textId="77777777" w:rsidR="00742DB1" w:rsidRDefault="00742DB1" w:rsidP="00742DB1">
      <w:pPr>
        <w:jc w:val="both"/>
        <w:rPr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    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По результатам контрольных мероприятий КСП города внесено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10 представлений, в том числе, 5 представлений направлены мэру города (по результатам проверок: приобретение учебной мебели для МБОУ «СОШ № 10»; финансово-хозяйственная деятельность «Детской художественной школы» и МУП ПО «</w:t>
      </w:r>
      <w:proofErr w:type="spellStart"/>
      <w:r>
        <w:rPr>
          <w:sz w:val="28"/>
          <w:szCs w:val="28"/>
        </w:rPr>
        <w:t>Электроавтотранс</w:t>
      </w:r>
      <w:proofErr w:type="spellEnd"/>
      <w:r>
        <w:rPr>
          <w:sz w:val="28"/>
          <w:szCs w:val="28"/>
        </w:rPr>
        <w:t xml:space="preserve">»; благоустройство сквера по проезду Фестивальный в районе «Дома детского творчества»; приобретение и установка скалодрома); по одному представлению по данным мероприятиям направлено руководителям указанных учреждений и предприятия, а также по результатам проверки финансово-хозяйственной деятельности «Детской художественной школы» КСП города составлены два протокола об </w:t>
      </w:r>
      <w:r>
        <w:rPr>
          <w:sz w:val="28"/>
          <w:szCs w:val="28"/>
        </w:rPr>
        <w:lastRenderedPageBreak/>
        <w:t>административной ответственности в отношении директора учреждения, которые были направлены в мировой суд для рассмотрения и по которым вынесены постановления суда о назначении административного наказания в виде наложения штрафа на общую сумму в размере 30,0 тыс. руб.; данные штрафы оплачены в бюджет города.</w:t>
      </w:r>
    </w:p>
    <w:p w14:paraId="30AD8475" w14:textId="77777777" w:rsidR="00742DB1" w:rsidRDefault="00742DB1" w:rsidP="00742D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Кроме того, в соответствии со ст.18 Федерального закона «Об общих принципах организации и деятельности контрольно-счетных органов субъектов РФ, федеральных территорий и муниципальных образований» и Соглашением о сотрудничестве КСП города с прокуратурой города Усолье-Сибирское, по фактам выявленных нарушений Контрольно-счетной палатой в прокуратуру города направлена информация и материалы по результатам 3</w:t>
      </w:r>
      <w:r>
        <w:rPr>
          <w:color w:val="4472C4"/>
          <w:sz w:val="28"/>
          <w:szCs w:val="28"/>
        </w:rPr>
        <w:t>-</w:t>
      </w:r>
      <w:r>
        <w:rPr>
          <w:sz w:val="28"/>
          <w:szCs w:val="28"/>
        </w:rPr>
        <w:t>х контрольных мероприятий (по проверке благоустройства сквера по проезду Фестивальный в районе «Дома детского творчества» и по проверкам финансово-хозяйственной деятельности МБУДО «Детская художественная школа» и МУП ПО «</w:t>
      </w:r>
      <w:proofErr w:type="spellStart"/>
      <w:r>
        <w:rPr>
          <w:sz w:val="28"/>
          <w:szCs w:val="28"/>
        </w:rPr>
        <w:t>Электроавтотранс</w:t>
      </w:r>
      <w:proofErr w:type="spellEnd"/>
      <w:r>
        <w:rPr>
          <w:sz w:val="28"/>
          <w:szCs w:val="28"/>
        </w:rPr>
        <w:t>»).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свою очередь,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рассмотрения направленных КСП города материалов прокуратурой города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внесены представления мэру города и руководителям МБУДО «Детская художественная школа» и МУП ПО «</w:t>
      </w:r>
      <w:proofErr w:type="spellStart"/>
      <w:r>
        <w:rPr>
          <w:sz w:val="28"/>
          <w:szCs w:val="28"/>
        </w:rPr>
        <w:t>Электроавтотранс</w:t>
      </w:r>
      <w:proofErr w:type="spellEnd"/>
      <w:r>
        <w:rPr>
          <w:sz w:val="28"/>
          <w:szCs w:val="28"/>
        </w:rPr>
        <w:t>»; данные представления рассмотрены, 2 человека (должностные лица) администрации города привлечены к дисциплинарной ответственности. Кроме того, по материалам по результатам проверки МУП ПО «</w:t>
      </w:r>
      <w:proofErr w:type="spellStart"/>
      <w:r>
        <w:rPr>
          <w:sz w:val="28"/>
          <w:szCs w:val="28"/>
        </w:rPr>
        <w:t>Электроавтотранс</w:t>
      </w:r>
      <w:proofErr w:type="spellEnd"/>
      <w:r>
        <w:rPr>
          <w:sz w:val="28"/>
          <w:szCs w:val="28"/>
        </w:rPr>
        <w:t>» прокуратурой города вынесено постановление о возбуждении дела об административном правонарушении в отношении главного бухгалтера предприятия, о результатах рассмотрения которого прокуратурой города будет направлена дополнительная информация.</w:t>
      </w:r>
    </w:p>
    <w:p w14:paraId="0BBF3F0B" w14:textId="77777777" w:rsidR="00742DB1" w:rsidRDefault="00742DB1" w:rsidP="00742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результатам рассмотрения отчетов, представлений и заключений КСП города проверенными организациями и администрацией города для устранения выявленных замечаний и нарушений, а также для выполнения рекомендаций КСП  города, приняты соответствующие меры</w:t>
      </w:r>
      <w:r>
        <w:rPr>
          <w:color w:val="FF0000"/>
          <w:sz w:val="28"/>
          <w:szCs w:val="28"/>
        </w:rPr>
        <w:t xml:space="preserve">: </w:t>
      </w:r>
      <w:r>
        <w:rPr>
          <w:sz w:val="28"/>
          <w:szCs w:val="28"/>
        </w:rPr>
        <w:t>разработан и утвержден Административный регламент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 «Выдача разрешения на снос, пересадку и (или) обрезку зеленых насаждений на территории муниципального образования «город Усолье-Сибирское», которого не было в наличии;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ведется работа по разработке не имеющихся в наличии Положения об отдельных вопросах ведения реестра муниципального имущества и Порядка, регулирующего вопрос продажи муниципального движимого имущества, находящегося в хозяйственном ведении муниципальных унитарных предприятий;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внесены изменения в муниципальные правовые акты и в локальные акты проверенных организаций; сформированы и направлены в КУМИ карточки капитальных вложений по затратам на благоустройство сквера в районе «Дома детского творчества»;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4-м наименованиям малых архитектурных форм, установленных в рамках благоустройства данного сквера, увеличена их балансовая стоимость с учетом стоимости работ по их установке;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подрядчиком</w:t>
      </w:r>
      <w:r>
        <w:rPr>
          <w:color w:val="4472C4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выполнявшим работы по благоустройству указанного сквера, доделаны работы, которые были выполнены в неполном объеме, а также в рамках гарантийных обязательств </w:t>
      </w:r>
      <w:r>
        <w:rPr>
          <w:sz w:val="28"/>
          <w:szCs w:val="28"/>
        </w:rPr>
        <w:lastRenderedPageBreak/>
        <w:t>устранены дефекты, установленные КСП города в ходе осмотра;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внесены корректировки в отчетность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«Детской художественной школы» по кредиторской задолженности; к учету данного учреждения приняты аппараты установленной пожарной сигнализации; с подрядчика, выполнявшего </w:t>
      </w:r>
      <w:r>
        <w:rPr>
          <w:bCs/>
          <w:iCs/>
          <w:sz w:val="28"/>
          <w:szCs w:val="28"/>
        </w:rPr>
        <w:t xml:space="preserve">гидравлические испытания индивидуальных тепловых пунктов и промывки системы отопления в зданиях </w:t>
      </w:r>
      <w:r>
        <w:rPr>
          <w:sz w:val="28"/>
          <w:szCs w:val="28"/>
        </w:rPr>
        <w:t>«Детской художественной школы», взысканы необоснованно выплаченные ему бюджетные средства</w:t>
      </w:r>
      <w:r>
        <w:rPr>
          <w:color w:val="4472C4"/>
          <w:sz w:val="28"/>
          <w:szCs w:val="28"/>
        </w:rPr>
        <w:t>;</w:t>
      </w:r>
      <w:r>
        <w:rPr>
          <w:sz w:val="28"/>
          <w:szCs w:val="28"/>
        </w:rPr>
        <w:t xml:space="preserve"> в бухгалтерском учете «Спортивного комплекса «Химик» отражена начисленная поставщику сумма неустойки за просрочку поставки по муниципальному контракту по приобретению и установке скалодрома в </w:t>
      </w:r>
      <w:proofErr w:type="spellStart"/>
      <w:r>
        <w:rPr>
          <w:sz w:val="28"/>
          <w:szCs w:val="28"/>
        </w:rPr>
        <w:t>ФОКе</w:t>
      </w:r>
      <w:proofErr w:type="spellEnd"/>
      <w:r>
        <w:rPr>
          <w:sz w:val="28"/>
          <w:szCs w:val="28"/>
        </w:rPr>
        <w:t>, а также принято к учету оборудование к скалодрому, которое было передано учреждению по договору безвозмездно от Благотворительного фонда местного сообщества «Новое Усолье»; произведен перерасчет неверно начисленной заработной платы работникам «Детской художественной школы» и МУП ПО «</w:t>
      </w:r>
      <w:proofErr w:type="spellStart"/>
      <w:r>
        <w:rPr>
          <w:sz w:val="28"/>
          <w:szCs w:val="28"/>
        </w:rPr>
        <w:t>Электроавтотранс</w:t>
      </w:r>
      <w:proofErr w:type="spellEnd"/>
      <w:r>
        <w:rPr>
          <w:sz w:val="28"/>
          <w:szCs w:val="28"/>
        </w:rPr>
        <w:t>»; увеличена сумма чистой прибыли МУП ПО «</w:t>
      </w:r>
      <w:proofErr w:type="spellStart"/>
      <w:r>
        <w:rPr>
          <w:sz w:val="28"/>
          <w:szCs w:val="28"/>
        </w:rPr>
        <w:t>Электроавтотранс</w:t>
      </w:r>
      <w:proofErr w:type="spellEnd"/>
      <w:r>
        <w:rPr>
          <w:sz w:val="28"/>
          <w:szCs w:val="28"/>
        </w:rPr>
        <w:t>» за 2024 год, и, соответственно, увеличена сумма отчислений от данной прибыли, которая перечислена в бюджет города; произведен перерасчет арендной платы по договорам аренды, заключенным МУП ПО «</w:t>
      </w:r>
      <w:proofErr w:type="spellStart"/>
      <w:r>
        <w:rPr>
          <w:sz w:val="28"/>
          <w:szCs w:val="28"/>
        </w:rPr>
        <w:t>Электроавтотранс</w:t>
      </w:r>
      <w:proofErr w:type="spellEnd"/>
      <w:r>
        <w:rPr>
          <w:sz w:val="28"/>
          <w:szCs w:val="28"/>
        </w:rPr>
        <w:t>», а также по договорам оказания предприятием транспортных услуг, в связи с чем в доход предприятия дополнительно поступили платежи от арендной платы и оказания транспортных услуг; устранены нарушения, отмеченные КСП города в ходе экспертиз проектов решений городской Думы о бюджете города; для обеспечения достоверного учета и надлежащего контроля за выполнением предписаний, выданных контрольно-надзорными органами общеобразовательным учреждениям, в каждом общеобразовательном учреждении назначены ответственные лица за выполнение данных предписаний и отделом образования определены сроки предоставления ежеквартальной соответствующей информации о выполнении выданных предписаний.</w:t>
      </w:r>
    </w:p>
    <w:p w14:paraId="42E247DC" w14:textId="77777777" w:rsidR="00742DB1" w:rsidRPr="0078559D" w:rsidRDefault="00742DB1" w:rsidP="00742D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дату составления настоящего отчета руководством проверенных организаций и администрацией города устранены нарушения всего на общую сумму 9 383,8 тыс. руб.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(что составляет 79,2% от объема выявленных нарушений); при этом, исключен риск нецелевого использования бюджетных средств в размере 4 822,0 тыс. руб., поступивших в качестве платы за снос зеленых насаждений; увеличены доходы бюджета города на 2026 год в размере 157,3 тыс. руб.; дополнительно поступило в бюджет города -  137,5 тыс. руб.; дополнительно поступило в доходы МУП ПО «</w:t>
      </w:r>
      <w:proofErr w:type="spellStart"/>
      <w:r>
        <w:rPr>
          <w:sz w:val="28"/>
          <w:szCs w:val="28"/>
        </w:rPr>
        <w:t>Электроавтотранс</w:t>
      </w:r>
      <w:proofErr w:type="spellEnd"/>
      <w:r>
        <w:rPr>
          <w:sz w:val="28"/>
          <w:szCs w:val="28"/>
        </w:rPr>
        <w:t xml:space="preserve">» - 488,3 тыс. руб.; </w:t>
      </w:r>
      <w:r w:rsidRPr="0078559D">
        <w:rPr>
          <w:sz w:val="28"/>
          <w:szCs w:val="28"/>
        </w:rPr>
        <w:t>дополнительно принято к учету МБУ «Спортивный комплекс «Химик» оборудование на сумму 500,0 тыс. руб.</w:t>
      </w:r>
    </w:p>
    <w:p w14:paraId="7DEBABF8" w14:textId="77777777" w:rsidR="00742DB1" w:rsidRDefault="00742DB1" w:rsidP="00742D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          </w:t>
      </w:r>
      <w:r>
        <w:rPr>
          <w:sz w:val="28"/>
          <w:szCs w:val="28"/>
        </w:rPr>
        <w:t>Общее количество устраненных нарушений составило 44 нарушения, из них, не имеющих суммового выражения – 6 нарушений.</w:t>
      </w:r>
    </w:p>
    <w:p w14:paraId="55313C42" w14:textId="77777777" w:rsidR="00742DB1" w:rsidRDefault="00742DB1" w:rsidP="00742DB1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Кроме того, по результатам проведенных мероприятий привлечены к дисциплинарной ответственности всего 7 человек (из них, по представлениям, направленным прокуратурой города - 2 человека); к административной ответственности привлечен 1 человек (по протоколам КСП города) и в </w:t>
      </w:r>
      <w:r>
        <w:rPr>
          <w:sz w:val="28"/>
          <w:szCs w:val="28"/>
        </w:rPr>
        <w:lastRenderedPageBreak/>
        <w:t xml:space="preserve">отношении 1-го должностного лица прокуратурой города вынесено постановление о возбуждении дела об административном правонарушении.  </w:t>
      </w:r>
    </w:p>
    <w:p w14:paraId="5CE190DB" w14:textId="77777777" w:rsidR="00742DB1" w:rsidRDefault="00742DB1" w:rsidP="00742DB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Наряду с отдельно проведенными экспертизами муниципальных правовых актов (и их проектов), в ходе проведенных контрольных и экспертно-аналитических мероприятий КСП города также были проанализированы на соответствие действующему законодательству муниципальные правовые акты (далее – МПА), касающиеся финансово-бюджетных вопросов и вопросов распоряжения и управления муниципальной собственностью, и правовые акты проверенных организаций.</w:t>
      </w:r>
    </w:p>
    <w:p w14:paraId="547F1C71" w14:textId="77777777" w:rsidR="00742DB1" w:rsidRDefault="00742DB1" w:rsidP="00742DB1">
      <w:pPr>
        <w:autoSpaceDE w:val="0"/>
        <w:autoSpaceDN w:val="0"/>
        <w:adjustRightInd w:val="0"/>
        <w:ind w:firstLine="540"/>
        <w:jc w:val="both"/>
        <w:rPr>
          <w:rFonts w:eastAsia="TimesNewRomanPSMT"/>
          <w:sz w:val="28"/>
          <w:szCs w:val="28"/>
        </w:rPr>
      </w:pPr>
      <w:r>
        <w:rPr>
          <w:color w:val="000000"/>
          <w:sz w:val="28"/>
          <w:szCs w:val="28"/>
        </w:rPr>
        <w:t xml:space="preserve">  Всего, с учетом проведенных экспертиз МПА и анализа МПА, проведенного в ходе контрольных и экспертно-аналитических мероприятий, проанализировано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76 МПА; из них, по 47 МПА КСП города выявлены замечания и даны рекомендации об их устранении. </w:t>
      </w:r>
    </w:p>
    <w:p w14:paraId="2B72F0B2" w14:textId="77777777" w:rsidR="00742DB1" w:rsidRDefault="00742DB1" w:rsidP="00742D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</w:t>
      </w:r>
      <w:r>
        <w:rPr>
          <w:sz w:val="28"/>
          <w:szCs w:val="28"/>
        </w:rPr>
        <w:t>На дату составления настоящего отчета замечания устранены по 30 МПА; устранение замечаний по остальным МПА находится в работе и будет осуществлено в текущем году.</w:t>
      </w:r>
    </w:p>
    <w:p w14:paraId="7388A7BD" w14:textId="77777777" w:rsidR="00742DB1" w:rsidRDefault="00742DB1" w:rsidP="00742DB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Также в течение 2025 года Контрольно-счетной палатой</w:t>
      </w:r>
      <w:r>
        <w:rPr>
          <w:color w:val="000000"/>
          <w:sz w:val="28"/>
          <w:szCs w:val="28"/>
        </w:rPr>
        <w:t xml:space="preserve"> города направлялась информация в Думу города и мэру города о проведенных мероприятиях и об исполнении бюджета города, а также направлялась соответствующая информация в Контрольно-счетную палату Иркутской области на поступающие запросы, касающиеся деятельности контрольно-счетных органов. </w:t>
      </w:r>
    </w:p>
    <w:p w14:paraId="5C97FE03" w14:textId="77777777" w:rsidR="00742DB1" w:rsidRDefault="00742DB1" w:rsidP="00742DB1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</w:p>
    <w:p w14:paraId="4DF898C6" w14:textId="77777777" w:rsidR="00742DB1" w:rsidRDefault="00742DB1" w:rsidP="00742DB1">
      <w:pPr>
        <w:autoSpaceDE w:val="0"/>
        <w:autoSpaceDN w:val="0"/>
        <w:adjustRightInd w:val="0"/>
        <w:jc w:val="both"/>
        <w:outlineLvl w:val="1"/>
        <w:rPr>
          <w:color w:val="FF0000"/>
        </w:rPr>
      </w:pPr>
    </w:p>
    <w:p w14:paraId="5509BC0B" w14:textId="77777777" w:rsidR="00742DB1" w:rsidRPr="00161F57" w:rsidRDefault="00742DB1" w:rsidP="00742DB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61F57">
        <w:rPr>
          <w:sz w:val="28"/>
          <w:szCs w:val="28"/>
        </w:rPr>
        <w:t>Председатель Контрольно-счетной палаты</w:t>
      </w:r>
    </w:p>
    <w:p w14:paraId="717FE336" w14:textId="1BD255C9" w:rsidR="00742DB1" w:rsidRPr="00161F57" w:rsidRDefault="00742DB1" w:rsidP="00742DB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61F57">
        <w:rPr>
          <w:sz w:val="28"/>
          <w:szCs w:val="28"/>
        </w:rPr>
        <w:t xml:space="preserve">города Усолье-Сибирское                                                            </w:t>
      </w:r>
      <w:r w:rsidR="00161F57">
        <w:rPr>
          <w:sz w:val="28"/>
          <w:szCs w:val="28"/>
        </w:rPr>
        <w:t xml:space="preserve">     </w:t>
      </w:r>
      <w:r w:rsidRPr="00161F57">
        <w:rPr>
          <w:sz w:val="28"/>
          <w:szCs w:val="28"/>
        </w:rPr>
        <w:t xml:space="preserve"> Е.А. </w:t>
      </w:r>
      <w:proofErr w:type="spellStart"/>
      <w:r w:rsidRPr="00161F57">
        <w:rPr>
          <w:sz w:val="28"/>
          <w:szCs w:val="28"/>
        </w:rPr>
        <w:t>Налётова</w:t>
      </w:r>
      <w:proofErr w:type="spellEnd"/>
    </w:p>
    <w:p w14:paraId="523C7A10" w14:textId="77777777" w:rsidR="00742DB1" w:rsidRDefault="00742DB1" w:rsidP="00742DB1">
      <w:pPr>
        <w:autoSpaceDE w:val="0"/>
        <w:autoSpaceDN w:val="0"/>
        <w:adjustRightInd w:val="0"/>
        <w:jc w:val="both"/>
        <w:outlineLvl w:val="1"/>
        <w:rPr>
          <w:b/>
          <w:bCs/>
          <w:sz w:val="28"/>
          <w:szCs w:val="28"/>
        </w:rPr>
      </w:pPr>
    </w:p>
    <w:p w14:paraId="69534AA6" w14:textId="77777777" w:rsidR="00F43CB4" w:rsidRDefault="00F43CB4"/>
    <w:sectPr w:rsidR="00F43CB4" w:rsidSect="004E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A8"/>
    <w:rsid w:val="00161F57"/>
    <w:rsid w:val="006378A8"/>
    <w:rsid w:val="00640D29"/>
    <w:rsid w:val="00742DB1"/>
    <w:rsid w:val="00E94FDF"/>
    <w:rsid w:val="00F4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8A08"/>
  <w15:chartTrackingRefBased/>
  <w15:docId w15:val="{BAECF56D-133D-43E9-A229-7BEF954A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1970</Words>
  <Characters>11230</Characters>
  <Application>Microsoft Office Word</Application>
  <DocSecurity>0</DocSecurity>
  <Lines>93</Lines>
  <Paragraphs>26</Paragraphs>
  <ScaleCrop>false</ScaleCrop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Налетова Елена Александровна</dc:creator>
  <cp:keywords/>
  <dc:description/>
  <cp:lastModifiedBy>Налетова Елена Александровна</cp:lastModifiedBy>
  <cp:revision>3</cp:revision>
  <dcterms:created xsi:type="dcterms:W3CDTF">2026-03-03T06:16:00Z</dcterms:created>
  <dcterms:modified xsi:type="dcterms:W3CDTF">2026-03-03T06:17:00Z</dcterms:modified>
</cp:coreProperties>
</file>